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5" w:rsidRPr="00D01AC5" w:rsidRDefault="00D01AC5" w:rsidP="00D01A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В Новгородской области применили мобильный лазер для вырубки леса</w:t>
      </w:r>
    </w:p>
    <w:p w:rsidR="00D01AC5" w:rsidRPr="00D01AC5" w:rsidRDefault="00D01AC5" w:rsidP="00D01AC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proofErr w:type="gram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Специалистами входящего в структуру «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Росатом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» Троицкого института по инновационным и термоядерным исследованиям была проведена расчистка заросшего растительностью участка с проходящими ЛЭП при помощи лазерной установки собственной разработки.</w:t>
      </w:r>
      <w:proofErr w:type="gram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Работы велись под Новгородом в интересах «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Россети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Северо-Запад».</w:t>
      </w:r>
    </w:p>
    <w:p w:rsidR="00D01AC5" w:rsidRPr="00D01AC5" w:rsidRDefault="00D01AC5" w:rsidP="00D01AC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03A419C0" wp14:editId="497CA049">
            <wp:simplePos x="0" y="0"/>
            <wp:positionH relativeFrom="column">
              <wp:posOffset>-33020</wp:posOffset>
            </wp:positionH>
            <wp:positionV relativeFrom="paragraph">
              <wp:posOffset>17780</wp:posOffset>
            </wp:positionV>
            <wp:extent cx="275971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71" y="21349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rossii-stali-primenyat-mobilnyj-lazer-dlya-vyrubki-le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Как отметили в «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Росатоме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», удаление деревьев и кустарника в труднодоступной местности с проходящими ЛЭП с помощью тяжелой спецтехники занимает много времени — до нескольких недель, а лазерная резка, отечественную технологию которой разработали в ТРИНИТИ, сокращает сроки расчистки просеки до 4-6 часов.</w:t>
      </w:r>
      <w:proofErr w:type="gramEnd"/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 примеру, в ходе проведения тестирования просека длиной около 200 метров с помощью этого лазера была очищена от деревьев и различных кустарников всего за 6 минут, хотя настройки его луча вполне допускают повышение скорости резки в два раза.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Стоит отметить, что это уже не первые испытания, в которых специалисты «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Росатома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» применяют лазер для выполнения дистанционных работ по устранению разного рода препятствий. Недавно эта российская разработка успешно выполнила демонтаж металлоконструкций толщиной более 250 мм на дистанции порядка 300 метров.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К сожалению, технические подробности по лазерной установке от «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Росатома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» не </w:t>
      </w:r>
      <w:proofErr w:type="gram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приводятся</w:t>
      </w:r>
      <w:proofErr w:type="gram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и при этом возникает вопрос о целесообразности применения лазера для подобных задач в летнее время из-за возможности возникновения пожаров. Хотя для промышленности данная технология будет весьма полезна.</w:t>
      </w:r>
    </w:p>
    <w:p w:rsidR="00D01AC5" w:rsidRPr="00D01AC5" w:rsidRDefault="00D01AC5" w:rsidP="00D01AC5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6" w:history="1">
        <w:r w:rsidRPr="00D01AC5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www.techcult.ru</w:t>
        </w:r>
      </w:hyperlink>
    </w:p>
    <w:p w:rsidR="00D01AC5" w:rsidRPr="00D01AC5" w:rsidRDefault="00D01AC5" w:rsidP="00D01AC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</w:p>
    <w:p w:rsidR="00D01AC5" w:rsidRPr="00D01AC5" w:rsidRDefault="00D01AC5" w:rsidP="00D01A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proofErr w:type="gramStart"/>
      <w:r w:rsidRPr="00D01AC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Необычный</w:t>
      </w:r>
      <w:proofErr w:type="gramEnd"/>
      <w:r w:rsidRPr="00D01AC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1AC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дрон</w:t>
      </w:r>
      <w:proofErr w:type="spellEnd"/>
      <w:r w:rsidRPr="00D01AC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-инспектор подзарядится от линий электропередач</w:t>
      </w:r>
    </w:p>
    <w:p w:rsidR="00D01AC5" w:rsidRPr="00D01AC5" w:rsidRDefault="00D01AC5" w:rsidP="00D01AC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Промышленные БПЛА, выполняющие самые различные функции, как и все 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беспилотники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, имеют весьма ограниченный энергетический ресурс. Однако разработка ученых из Университета Южной Дании делает его практически неограниченным.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Разработанный ими 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квадрокоптер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на базе 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дрона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Tarot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650 предназначен для обследования ЛЭП, а благодаря специальному захвату, может от нее же и подзаряжаться, что позволит ему находиться в воздухе практически неограниченное время.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D1DD993" wp14:editId="0D30BA11">
            <wp:simplePos x="0" y="0"/>
            <wp:positionH relativeFrom="column">
              <wp:posOffset>-635</wp:posOffset>
            </wp:positionH>
            <wp:positionV relativeFrom="paragraph">
              <wp:posOffset>40640</wp:posOffset>
            </wp:positionV>
            <wp:extent cx="3329940" cy="1973580"/>
            <wp:effectExtent l="0" t="0" r="0" b="0"/>
            <wp:wrapTight wrapText="bothSides">
              <wp:wrapPolygon edited="0">
                <wp:start x="0" y="0"/>
                <wp:lineTo x="0" y="21475"/>
                <wp:lineTo x="21501" y="21475"/>
                <wp:lineTo x="215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Помимо </w:t>
      </w:r>
      <w:proofErr w:type="gram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литий-полимерного</w:t>
      </w:r>
      <w:proofErr w:type="gram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аккумулятора емкостью 7000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мА</w:t>
      </w:r>
      <w:r w:rsidRPr="00D01AC5">
        <w:rPr>
          <w:rFonts w:ascii="Cambria Math" w:eastAsia="Times New Roman" w:hAnsi="Cambria Math" w:cs="Cambria Math"/>
          <w:spacing w:val="3"/>
          <w:sz w:val="28"/>
          <w:szCs w:val="28"/>
          <w:bdr w:val="none" w:sz="0" w:space="0" w:color="auto" w:frame="1"/>
          <w:lang w:eastAsia="ru-RU"/>
        </w:rPr>
        <w:t>⋅</w:t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ч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дрон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оснащен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микрокопьютером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Raspberry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Pi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4 B, модулем автопилота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Pixhawk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V6X, радаром миллиметрового диапазона и видеокамерой RGB.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proofErr w:type="gram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Как только ПО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беспилотника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зафиксирует низкий уровень заряда аккумулятора, в дело вступают камера и радар для определения места нахождения ближайшей ЛЭП, после чего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дрон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направляется к ней.</w:t>
      </w:r>
      <w:proofErr w:type="gram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Подлет к линии осуществляется снизу. Специальная направляющая обеспечит захват провода. Оказавшись в захвате, провод натягивает две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эластомерные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ленты, надежно фиксируя контакт.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После этого включается схема управления, прочно удерживающая </w:t>
      </w:r>
      <w:proofErr w:type="gram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висящий</w:t>
      </w:r>
      <w:proofErr w:type="gram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дрон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. Затем в работу вступает индуктивное зарядное устройство, которое и обеспечивает подзарядку батареи </w:t>
      </w:r>
      <w:proofErr w:type="gram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ЛЭП. Как только сеанс будет завершен, захват откроется и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дрон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сможет продолжать работу.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Как показали испытания в датском аэропорту, опытный </w:t>
      </w:r>
      <w:proofErr w:type="spellStart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дрон</w:t>
      </w:r>
      <w:proofErr w:type="spellEnd"/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весом 4,3 кг легко проработал более двух часов с пятью подзарядками между проверками ЛЭП.</w:t>
      </w:r>
    </w:p>
    <w:p w:rsidR="00D01AC5" w:rsidRPr="00D01AC5" w:rsidRDefault="00D01AC5" w:rsidP="00D01AC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Pr="00D01AC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techcult.ru</w:t>
        </w:r>
      </w:hyperlink>
    </w:p>
    <w:p w:rsidR="00D01AC5" w:rsidRPr="00D01AC5" w:rsidRDefault="00D01AC5" w:rsidP="00D01AC5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D01AC5" w:rsidRPr="00D01AC5" w:rsidRDefault="00D01AC5" w:rsidP="00D01A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Эксперты НИУ МГСУ объяснили значимость испытаний деревянных конструкций</w:t>
      </w:r>
    </w:p>
    <w:p w:rsidR="00D01AC5" w:rsidRPr="00D01AC5" w:rsidRDefault="00D01AC5" w:rsidP="00D0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НИИ Экспериментальной механики НИУ МГСУ на протяжении нескольких месяцев проходят испытания деревянных конструкций. Эксперты Главного строительного объяснили, почему это важно для строительной отрасли сегодня.</w:t>
      </w:r>
    </w:p>
    <w:p w:rsidR="00D01AC5" w:rsidRPr="00D01AC5" w:rsidRDefault="00D01AC5" w:rsidP="00D0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i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215ED39A" wp14:editId="4DE881FA">
            <wp:simplePos x="0" y="0"/>
            <wp:positionH relativeFrom="column">
              <wp:posOffset>-3810</wp:posOffset>
            </wp:positionH>
            <wp:positionV relativeFrom="paragraph">
              <wp:posOffset>433070</wp:posOffset>
            </wp:positionV>
            <wp:extent cx="3152775" cy="1917700"/>
            <wp:effectExtent l="0" t="0" r="0" b="0"/>
            <wp:wrapTight wrapText="bothSides">
              <wp:wrapPolygon edited="0">
                <wp:start x="0" y="0"/>
                <wp:lineTo x="0" y="21457"/>
                <wp:lineTo x="21535" y="21457"/>
                <wp:lineTo x="21535" y="0"/>
                <wp:lineTo x="0" y="0"/>
              </wp:wrapPolygon>
            </wp:wrapTight>
            <wp:docPr id="3" name="Рисунок 1" descr="https://mgsu.ru/upload/iblock/905/x17tz54f2bz1xbkx2yai7b7us1alh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su.ru/upload/iblock/905/x17tz54f2bz1xbkx2yai7b7us1alhk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«Экономически исследование деревянных конструкций обусловлено использованием местной сырьевой базы. Это намного дешевле, чем металлические или железобетонные конструкции», — отмечает заместитель директора научно-исследовательского института экспериментальной механики НИУ МГСУ Олег Корнев. </w:t>
      </w:r>
    </w:p>
    <w:p w:rsidR="00D01AC5" w:rsidRPr="00D01AC5" w:rsidRDefault="00D01AC5" w:rsidP="00D01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Однако прежде, чем выпускать конструкции из древесины на строительный </w:t>
      </w:r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рынок, необходимо подвергнуть их широкому перечню испытаний, например, на усталость. Учёные продемонстрировали, с помощью каких приборов ломается дерево и как нужно «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циклировать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» образцы. 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Результаты исследования учёных НИУ МГСУ помогут спрогнозировать срок службы деревянных конструкций и оценить их пределы выносливости, расширить область применения, а также установить характеристики, необходимые для проектирования несущих элементов. Это позволит создать базу для нормативно-технических документов.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3"/>
          <w:sz w:val="30"/>
          <w:szCs w:val="30"/>
          <w:u w:val="single"/>
          <w:bdr w:val="none" w:sz="0" w:space="0" w:color="auto" w:frame="1"/>
          <w:lang w:eastAsia="ru-RU"/>
        </w:rPr>
      </w:pPr>
      <w:hyperlink r:id="rId10" w:history="1">
        <w:r w:rsidRPr="00D01AC5">
          <w:rPr>
            <w:rFonts w:ascii="Times New Roman" w:eastAsia="Times New Roman" w:hAnsi="Times New Roman" w:cs="Times New Roman"/>
            <w:spacing w:val="3"/>
            <w:sz w:val="30"/>
            <w:szCs w:val="30"/>
            <w:u w:val="single"/>
            <w:bdr w:val="none" w:sz="0" w:space="0" w:color="auto" w:frame="1"/>
            <w:lang w:eastAsia="ru-RU"/>
          </w:rPr>
          <w:t>mgsu.ru</w:t>
        </w:r>
      </w:hyperlink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3"/>
          <w:sz w:val="30"/>
          <w:szCs w:val="30"/>
          <w:bdr w:val="none" w:sz="0" w:space="0" w:color="auto" w:frame="1"/>
          <w:lang w:eastAsia="ru-RU"/>
        </w:rPr>
      </w:pPr>
    </w:p>
    <w:p w:rsidR="00D01AC5" w:rsidRPr="00D01AC5" w:rsidRDefault="00D01AC5" w:rsidP="00D01A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proofErr w:type="gramStart"/>
      <w:r w:rsidRPr="00D01AC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Создан</w:t>
      </w:r>
      <w:proofErr w:type="gramEnd"/>
      <w:r w:rsidRPr="00D01AC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универсальный 3D-принтер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</w:pPr>
      <w:r w:rsidRPr="00D01AC5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 wp14:anchorId="6BCF3526" wp14:editId="0736F123">
            <wp:simplePos x="0" y="0"/>
            <wp:positionH relativeFrom="column">
              <wp:posOffset>12065</wp:posOffset>
            </wp:positionH>
            <wp:positionV relativeFrom="paragraph">
              <wp:posOffset>1040765</wp:posOffset>
            </wp:positionV>
            <wp:extent cx="3160395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83" y="21339"/>
                <wp:lineTo x="21483" y="0"/>
                <wp:lineTo x="0" y="0"/>
              </wp:wrapPolygon>
            </wp:wrapTight>
            <wp:docPr id="4" name="Рисунок 4" descr="https://icdn.lenta.ru/images/2024/04/08/17/20240408171833887/owl_detail_240_12ac1b47bba5ef9b39808cf2f7591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dn.lenta.ru/images/2024/04/08/17/20240408171833887/owl_detail_240_12ac1b47bba5ef9b39808cf2f75918a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Группа ученых Центра битов и атомов Массачусетского технологического института (CBA), Национального института стандартов и технологий </w:t>
      </w:r>
      <w:hyperlink r:id="rId12" w:tgtFrame="_blank" w:history="1">
        <w:r w:rsidRPr="00D01AC5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США</w:t>
        </w:r>
      </w:hyperlink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(NIST) и Национального центра научных исследований в </w:t>
      </w:r>
      <w:hyperlink r:id="rId13" w:tgtFrame="_blank" w:history="1">
        <w:r w:rsidRPr="00D01AC5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Греции</w:t>
        </w:r>
      </w:hyperlink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создали универсальный 3D-принтер, который способен самостоятельно подбирать параметры загружаемых в него «чернил» для последующего печатания. Результаты</w:t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> </w:t>
      </w:r>
      <w:hyperlink r:id="rId14" w:tgtFrame="_blank" w:history="1">
        <w:r w:rsidRPr="00D01AC5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опубликованы</w:t>
        </w:r>
      </w:hyperlink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> </w:t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</w:t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журнале</w:t>
      </w: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  <w:t xml:space="preserve"> Integrating Materials and Manufacturing Innovation.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настоящее время при использовании нового материала для печатания нужно корректировать настройки 3D-принтера вручную. Обычно необходимо установить значения до 100 параметров в программном обеспечении, которые контролируют, как принтер будет выдавливать материал при изготовлении объекта. Для широко использующихся полимеров имеется фиксированный набор параметров, который был установлен путем проб и ошибок.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новой работе исследователи модифицировали экструдер, чтобы он смог измерять параметры потока материала. Данные, собранные в ходе 20-минутного теста, передаются в математическую функцию, которая используется для автоматического создания набора параметров печати. Эти параметры можно ввести в готовое программное обеспечение для 3D-печати и использовать для печати из ранее не используемого материала.</w:t>
      </w:r>
    </w:p>
    <w:p w:rsidR="00D01AC5" w:rsidRPr="00D01AC5" w:rsidRDefault="00D01AC5" w:rsidP="00D01A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</w:pPr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Исследование может помочь снизить воздействие аддитивного производства на окружающую среду, которое обычно основано на 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неперерабатываемых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полимерах и смолах, полученных из ископаемого топлива. Принтер может сам придумать, как печатать из более </w:t>
      </w:r>
      <w:proofErr w:type="spellStart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>экологичных</w:t>
      </w:r>
      <w:proofErr w:type="spellEnd"/>
      <w:r w:rsidRPr="00D01AC5">
        <w:rPr>
          <w:rFonts w:ascii="Times New Roman" w:eastAsia="Times New Roman" w:hAnsi="Times New Roman" w:cs="Times New Roman"/>
          <w:i/>
          <w:spacing w:val="3"/>
          <w:sz w:val="28"/>
          <w:szCs w:val="28"/>
          <w:bdr w:val="none" w:sz="0" w:space="0" w:color="auto" w:frame="1"/>
          <w:lang w:eastAsia="ru-RU"/>
        </w:rPr>
        <w:t xml:space="preserve"> материалов, исключая необходимость утомительного подбора параметров.</w:t>
      </w:r>
    </w:p>
    <w:p w:rsidR="00D01AC5" w:rsidRPr="00D01AC5" w:rsidRDefault="00D01AC5" w:rsidP="00D01AC5">
      <w:pPr>
        <w:spacing w:after="160" w:line="259" w:lineRule="auto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15" w:history="1">
        <w:r w:rsidRPr="00D01AC5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bdr w:val="none" w:sz="0" w:space="0" w:color="auto" w:frame="1"/>
            <w:lang w:eastAsia="ru-RU"/>
          </w:rPr>
          <w:t>lenta.ru</w:t>
        </w:r>
      </w:hyperlink>
      <w:bookmarkStart w:id="0" w:name="_GoBack"/>
      <w:bookmarkEnd w:id="0"/>
    </w:p>
    <w:sectPr w:rsidR="00D01AC5" w:rsidRPr="00D0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48"/>
    <w:rsid w:val="00943008"/>
    <w:rsid w:val="00D01AC5"/>
    <w:rsid w:val="00DA20B8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cult.ru/technics/13640-dron-inspektor-linij-elektroperedach" TargetMode="External"/><Relationship Id="rId13" Type="http://schemas.openxmlformats.org/officeDocument/2006/relationships/hyperlink" Target="https://lenta.ru/tags/geo/grets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lenta.ru/tags/geo/ssh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chcult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hyperlink" Target="https://lenta.ru/news/2024/04/09/printer/" TargetMode="External"/><Relationship Id="rId10" Type="http://schemas.openxmlformats.org/officeDocument/2006/relationships/hyperlink" Target="https://mgsu.ru/news/Nauka/PrakticheskoeprimeneniezelenogostandartaNIUMGS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x.doi.org/10.1007/s40192-024-00350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Воронович Виталий</dc:creator>
  <cp:keywords/>
  <dc:description/>
  <cp:lastModifiedBy>Воронович Виталий</cp:lastModifiedBy>
  <cp:revision>2</cp:revision>
  <dcterms:created xsi:type="dcterms:W3CDTF">2024-04-12T07:59:00Z</dcterms:created>
  <dcterms:modified xsi:type="dcterms:W3CDTF">2024-04-12T08:00:00Z</dcterms:modified>
</cp:coreProperties>
</file>