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95" w:rsidRPr="00972419" w:rsidRDefault="00321895" w:rsidP="00321895">
      <w:pPr>
        <w:spacing w:after="0" w:line="19" w:lineRule="atLeast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</w:pPr>
      <w:r w:rsidRPr="00972419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t>Свойства высоковязких пенообразователей и их влияние на системы дозирования</w:t>
      </w:r>
    </w:p>
    <w:p w:rsidR="00321895" w:rsidRPr="00406E25" w:rsidRDefault="00321895" w:rsidP="00321895">
      <w:pPr>
        <w:spacing w:after="0" w:line="19" w:lineRule="atLeast"/>
        <w:ind w:firstLine="709"/>
        <w:jc w:val="both"/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</w:pPr>
      <w:r w:rsidRPr="00406E25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>Успех в тушении пожара зависит от различных факторов. Самое главное – правильный выбор пенообразователя. В прошлом наибольшее распространение получили пенообразователи AFFF и AFFF-AR. Их объединяло то, что в качестве одного из базовых компонентов они использовали фтор, так как он обладает очень хорошими огнетушащими свойствами. Их преимущество заключалось в том, что с помощью одного пенообразователя можно было тушить пожары практически всех классов и широкий спектр различных химикатов.</w:t>
      </w:r>
    </w:p>
    <w:p w:rsidR="00321895" w:rsidRPr="00972419" w:rsidRDefault="00321895" w:rsidP="00321895">
      <w:pPr>
        <w:spacing w:after="0" w:line="19" w:lineRule="atLeas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За последние годы в различных странах было принято законодательство, запрещающее использование фтора в пенообразователях. Это означает, что компании должны найти замену, не содержащую фтора.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В</w:t>
      </w:r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настоящее время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не найдена полная замена</w:t>
      </w:r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фторсодержащих пен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ообразователей</w:t>
      </w:r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. Во многих случаях </w:t>
      </w:r>
      <w:proofErr w:type="spellStart"/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нефторированные</w:t>
      </w:r>
      <w:proofErr w:type="spellEnd"/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пенообразователи (FFF) еще не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подтвердили свою эффективность</w:t>
      </w:r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при тушении пожаров</w:t>
      </w:r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br/>
      </w:r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с целым рядом химикатов. Во многих случаях необходимо использовать различные </w:t>
      </w:r>
      <w:proofErr w:type="spellStart"/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нефторированные</w:t>
      </w:r>
      <w:proofErr w:type="spellEnd"/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пенообразователи там, где раньше справлялся один фторированный продукт.</w:t>
      </w:r>
    </w:p>
    <w:p w:rsidR="00321895" w:rsidRPr="00972419" w:rsidRDefault="00321895" w:rsidP="00321895">
      <w:pPr>
        <w:spacing w:after="0" w:line="19" w:lineRule="atLeas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406E25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 xml:space="preserve">Одним из физических свойств, общим для многих не содержащих фтора пенообразователей, является повышенная вязкость. </w:t>
      </w:r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Высоковязкие пенообразователи использовались в пожарной промышленности на протяж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ении десятилетий, например,</w:t>
      </w:r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AFFF-AR, но с переходом на </w:t>
      </w:r>
      <w:proofErr w:type="spellStart"/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нефторированные</w:t>
      </w:r>
      <w:proofErr w:type="spellEnd"/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пенообразователи тему вязкости необходимо рассматривать более широко.</w:t>
      </w:r>
    </w:p>
    <w:p w:rsidR="00321895" w:rsidRPr="00972419" w:rsidRDefault="00321895" w:rsidP="00321895">
      <w:pPr>
        <w:spacing w:after="0" w:line="19" w:lineRule="atLeas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Термин вязкость относится к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устойчивости</w:t>
      </w:r>
      <w:r w:rsidRPr="00784DE2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жидкости к деформации.</w:t>
      </w:r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Чем выше в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язкость, тем гуще и менее текучей является</w:t>
      </w:r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жидкость. Чем ниже вязкость, тем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жидкость</w:t>
      </w:r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более «жидкая» и текучая</w:t>
      </w:r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.</w:t>
      </w:r>
    </w:p>
    <w:p w:rsidR="00321895" w:rsidRPr="00972419" w:rsidRDefault="00321895" w:rsidP="00321895">
      <w:pPr>
        <w:spacing w:after="0" w:line="19" w:lineRule="atLeas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Пенообразователи низкой вязкости, такие как AFFF, </w:t>
      </w:r>
      <w:proofErr w:type="spellStart"/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Hi-Ex</w:t>
      </w:r>
      <w:proofErr w:type="spellEnd"/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, класса</w:t>
      </w:r>
      <w:proofErr w:type="gramStart"/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А</w:t>
      </w:r>
      <w:proofErr w:type="gramEnd"/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или универсальные, характеризуются как </w:t>
      </w:r>
      <w:proofErr w:type="spellStart"/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ньютоновские</w:t>
      </w:r>
      <w:proofErr w:type="spellEnd"/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жидкости. Высоковязкие пенообразователи, такие как AFFF-AR и FFF, часто представляют собой </w:t>
      </w:r>
      <w:proofErr w:type="spellStart"/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псевдопластичные</w:t>
      </w:r>
      <w:proofErr w:type="spellEnd"/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жидкости. </w:t>
      </w:r>
      <w:proofErr w:type="spellStart"/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Псевдопластичность</w:t>
      </w:r>
      <w:proofErr w:type="spellEnd"/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означает, что они меняют свою вязкость в зависимости от скорости и турбулентности, с которыми они движутся.</w:t>
      </w:r>
    </w:p>
    <w:p w:rsidR="00321895" w:rsidRDefault="00321895" w:rsidP="00321895">
      <w:pPr>
        <w:spacing w:after="0" w:line="19" w:lineRule="atLeas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Вязкость концентрата </w:t>
      </w:r>
      <w:proofErr w:type="spellStart"/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псевдопластической</w:t>
      </w:r>
      <w:proofErr w:type="spellEnd"/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пены можно охарактеризовать как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соотношение</w:t>
      </w:r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динамической вязкости и скорости сдвига, при этом скорость сдвига — это скорость, с которой жидкость перемещается или «работает» во время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движения</w:t>
      </w:r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учитывая трение между жидкостью и стенками</w:t>
      </w:r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«</w:t>
      </w:r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трубопровода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» и турбулентность, вызванную</w:t>
      </w:r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изгибами</w:t>
      </w:r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труб или ограничениями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на пути движения жидкости</w:t>
      </w:r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. Как и в случае с отдельными значениями вязкости, кривая динамической вязкости/скорости сдвига всегда связана с определенной температурой.</w:t>
      </w:r>
    </w:p>
    <w:p w:rsidR="00321895" w:rsidRPr="00972419" w:rsidRDefault="00321895" w:rsidP="00321895">
      <w:pPr>
        <w:spacing w:after="0" w:line="19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3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5085A7F2" wp14:editId="3288C8FB">
            <wp:extent cx="5940425" cy="224345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4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895" w:rsidRPr="00972419" w:rsidRDefault="00321895" w:rsidP="00321895">
      <w:pPr>
        <w:spacing w:after="0" w:line="19" w:lineRule="atLeas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На изображении 1 показана разница между </w:t>
      </w:r>
      <w:proofErr w:type="spellStart"/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ньютоновской</w:t>
      </w:r>
      <w:proofErr w:type="spellEnd"/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псевдопластической</w:t>
      </w:r>
      <w:proofErr w:type="spellEnd"/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жидкостью. Например,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для продукции FM </w:t>
      </w:r>
      <w:proofErr w:type="spellStart"/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Approvals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определены</w:t>
      </w:r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скоро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сти</w:t>
      </w:r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сдвига от 5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л</w:t>
      </w:r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/с до 600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л</w:t>
      </w:r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/</w:t>
      </w:r>
      <w:proofErr w:type="gramStart"/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зависимости от пенообразователя и системы</w:t>
      </w:r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дозирования.</w:t>
      </w:r>
    </w:p>
    <w:p w:rsidR="00321895" w:rsidRPr="00972419" w:rsidRDefault="00321895" w:rsidP="00321895">
      <w:pPr>
        <w:spacing w:after="0" w:line="19" w:lineRule="atLeas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Далее </w:t>
      </w:r>
      <w:proofErr w:type="gramStart"/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рассмотрим высоковязкие пенообразователи в целом и что следует</w:t>
      </w:r>
      <w:proofErr w:type="gramEnd"/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учитывать при выборе системы дозирования.</w:t>
      </w:r>
    </w:p>
    <w:p w:rsidR="00321895" w:rsidRPr="00972419" w:rsidRDefault="00321895" w:rsidP="00321895">
      <w:pPr>
        <w:spacing w:after="0" w:line="19" w:lineRule="atLeas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Вязкость пенообразователей оказывает большое влияние на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подбор системы</w:t>
      </w:r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дозирования. Пенообразователи высокой вязкости имеют значительно более высокие потери давления при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движении по «трубопроводу»</w:t>
      </w:r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, чем пенообразователи низкой вязкости. Это исключает многие технологии дозирования, основанные на соотношении давлений. Технологии дозирования, подходящие для пенообразователей высокой вязкости, обычно используют поршневые насосы.</w:t>
      </w:r>
    </w:p>
    <w:p w:rsidR="00321895" w:rsidRPr="00972419" w:rsidRDefault="00321895" w:rsidP="00321895">
      <w:pPr>
        <w:spacing w:after="0" w:line="19" w:lineRule="atLeas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Помимо пенообразователей, каждая система дозирования характеризуется кривой вязкости, которая описывает способность перерабатывать жидкости с высокой вязкостью. Кривая будет зависеть от технических характеристик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системы</w:t>
      </w:r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дозирования и конструкции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этой </w:t>
      </w:r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системы. Напри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мер, вязкость </w:t>
      </w:r>
      <w:proofErr w:type="spellStart"/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псевдопластичного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пенообразователя </w:t>
      </w:r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будет варьироваться в зависимости от линии всасывания. Малый диаметр всасывающей линии или длинная всасывающая линия с множеством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изгибов</w:t>
      </w:r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приведет к высокой скорости сдвига, что приведет к большому падению давления. Поэтому необходимо учитывать не только диаметр самой всасывающей линии, но и любые ограничения в линии. Сюда относится, например, выпускное отверстие контейнера с пенообразователем. Выходное отверстие диаметром 2 дюйма для IBC будет ограничивающим фактором даже при использовании всасывающей линии диаметром 4 дюйма.</w:t>
      </w:r>
    </w:p>
    <w:p w:rsidR="00321895" w:rsidRPr="00972419" w:rsidRDefault="00321895" w:rsidP="00321895">
      <w:pPr>
        <w:spacing w:after="0" w:line="19" w:lineRule="atLeas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Д</w:t>
      </w:r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опустимые скорости потока </w:t>
      </w:r>
      <w:proofErr w:type="spellStart"/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ньютоновских</w:t>
      </w:r>
      <w:proofErr w:type="spellEnd"/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пенообразователей во всасывающей линии находятся в диапазоне от 1,0 м/с до 1,2 м/с. Для высоковязких </w:t>
      </w:r>
      <w:proofErr w:type="spellStart"/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псевдопластичных</w:t>
      </w:r>
      <w:proofErr w:type="spellEnd"/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пено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образователей</w:t>
      </w:r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они составляют от 0,6 м/с до 0,8 м/с. Так, для достижения тех же расходов необходимо использовать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«</w:t>
      </w:r>
      <w:r w:rsidRPr="007D15AE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трубопроводы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»</w:t>
      </w:r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большего диаметра для пенообразователей высокой вязкости.</w:t>
      </w:r>
      <w:proofErr w:type="gramEnd"/>
    </w:p>
    <w:p w:rsidR="00321895" w:rsidRPr="00972419" w:rsidRDefault="00321895" w:rsidP="00321895">
      <w:pPr>
        <w:spacing w:after="0" w:line="19" w:lineRule="atLeas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lastRenderedPageBreak/>
        <w:t>Кроме того, следует уделить внимание размеру всасывающей линии, чтобы учесть разницу в перепаде давления в рабочих условиях самого низкого и самого высокого ожидаемого расхода воды, а также самой низкой и самой высокой ожидаемой температуры пенообразователя в контейнере для хранения и всасывающей линии.</w:t>
      </w:r>
    </w:p>
    <w:p w:rsidR="00321895" w:rsidRDefault="00321895" w:rsidP="00321895">
      <w:pPr>
        <w:spacing w:after="0" w:line="19" w:lineRule="atLeas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Учет кривой вязкости особенно важен при оценке системы дозирования, которая будет работать при различных скоростях потока.</w:t>
      </w:r>
    </w:p>
    <w:p w:rsidR="00321895" w:rsidRPr="00972419" w:rsidRDefault="00321895" w:rsidP="00321895">
      <w:pPr>
        <w:spacing w:after="0" w:line="19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4930566" wp14:editId="5742E714">
            <wp:extent cx="5940425" cy="224345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4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895" w:rsidRPr="000D53CF" w:rsidRDefault="00321895" w:rsidP="00321895">
      <w:pPr>
        <w:spacing w:after="0" w:line="19" w:lineRule="atLeast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</w:pPr>
      <w:r w:rsidRPr="000D53CF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Изображение 2: Кривая вязкости дозирующей системы и двух разных пенообразователей.</w:t>
      </w:r>
    </w:p>
    <w:p w:rsidR="00321895" w:rsidRPr="00972419" w:rsidRDefault="00321895" w:rsidP="00321895">
      <w:pPr>
        <w:spacing w:after="0" w:line="19" w:lineRule="atLeas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На изображении 2 дозирующая система полностью способна дозировать пенообразователь 1, но име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ются</w:t>
      </w:r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трудности с пенообразователем 2. Кривая пенообразователя 2 превышает кривую дозирующей системы при скорости сдвига около 90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л</w:t>
      </w:r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/</w:t>
      </w:r>
      <w:proofErr w:type="gramStart"/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Для</w:t>
      </w:r>
      <w:proofErr w:type="gramEnd"/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проверки возможности использования комбинации дозирующей системы и пенообразователя 2 рекомендуется провести физические испытания.</w:t>
      </w:r>
    </w:p>
    <w:p w:rsidR="00321895" w:rsidRPr="00972419" w:rsidRDefault="00321895" w:rsidP="00321895">
      <w:pPr>
        <w:spacing w:after="0" w:line="19" w:lineRule="atLeas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Всегда помните, что вам следует использовать кривую вязкости для самой низкой предполагаемой температуры, которой может подвергнуться система.</w:t>
      </w:r>
    </w:p>
    <w:p w:rsidR="00321895" w:rsidRPr="00972419" w:rsidRDefault="00321895" w:rsidP="00321895">
      <w:pPr>
        <w:spacing w:after="0" w:line="19" w:lineRule="atLeas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406E25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7DFFA" wp14:editId="0F486160">
                <wp:simplePos x="0" y="0"/>
                <wp:positionH relativeFrom="margin">
                  <wp:posOffset>-82550</wp:posOffset>
                </wp:positionH>
                <wp:positionV relativeFrom="margin">
                  <wp:posOffset>8004175</wp:posOffset>
                </wp:positionV>
                <wp:extent cx="2962910" cy="645160"/>
                <wp:effectExtent l="6985" t="8890" r="11430" b="12700"/>
                <wp:wrapSquare wrapText="bothSides"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895" w:rsidRPr="000D53CF" w:rsidRDefault="00321895" w:rsidP="00321895">
                            <w:pPr>
                              <w:spacing w:after="0" w:line="19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</w:pPr>
                            <w:r w:rsidRPr="000D53CF"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Изображение 3: Воздух, захваченный внутри пенообразователя высокой вязкости.</w:t>
                            </w:r>
                          </w:p>
                          <w:p w:rsidR="00321895" w:rsidRDefault="00321895" w:rsidP="003218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26" type="#_x0000_t202" style="position:absolute;left:0;text-align:left;margin-left:-6.5pt;margin-top:630.25pt;width:233.3pt;height:50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" strokecolor="white [3212]">
                <v:textbox>
                  <w:txbxContent>
                    <w:p w:rsidR="00321895" w:rsidRPr="000D53CF" w:rsidRDefault="00321895" w:rsidP="00321895">
                      <w:pPr>
                        <w:spacing w:after="0" w:line="19" w:lineRule="atLeast"/>
                        <w:jc w:val="both"/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</w:pPr>
                      <w:r w:rsidRPr="000D53CF"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Изображение 3: Воздух, захваченный внутри пенообразователя высокой вязкости.</w:t>
                      </w:r>
                    </w:p>
                    <w:p w:rsidR="00321895" w:rsidRDefault="00321895" w:rsidP="00321895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06E25">
        <w:rPr>
          <w:rFonts w:ascii="Times New Roman" w:eastAsia="Times New Roman" w:hAnsi="Times New Roman" w:cs="Times New Roman"/>
          <w:i/>
          <w:noProof/>
          <w:spacing w:val="3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1" locked="0" layoutInCell="1" allowOverlap="1" wp14:anchorId="66CC5466" wp14:editId="47CEB38E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2837815" cy="2062480"/>
            <wp:effectExtent l="0" t="0" r="0" b="0"/>
            <wp:wrapTight wrapText="bothSides">
              <wp:wrapPolygon edited="0">
                <wp:start x="0" y="0"/>
                <wp:lineTo x="0" y="21347"/>
                <wp:lineTo x="21460" y="21347"/>
                <wp:lineTo x="21460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815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6E25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>Еще одной серьезной проблемой при работе с пенообразователями высокой вязкости является захват воздуха.</w:t>
      </w:r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При использовании </w:t>
      </w:r>
      <w:proofErr w:type="spellStart"/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псевдопластичных</w:t>
      </w:r>
      <w:proofErr w:type="spellEnd"/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пенообразователей </w:t>
      </w:r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высокой вязкости пузырьки воздуха, которые могут образовываться во время транспортировки или заправки, могут оставаться в жидкости и, таким образом, влиять на скорость дозирования. Захват воздуха в 10% означает снижение скорости дозирования на 10%, поэтому 3% фактически превращаются в 2,7%.</w:t>
      </w:r>
    </w:p>
    <w:p w:rsidR="00321895" w:rsidRDefault="00321895" w:rsidP="00321895">
      <w:pPr>
        <w:spacing w:after="0" w:line="19" w:lineRule="atLeast"/>
        <w:ind w:firstLine="709"/>
        <w:jc w:val="both"/>
        <w:rPr>
          <w:rFonts w:ascii="Times New Roman" w:eastAsia="Times New Roman" w:hAnsi="Times New Roman" w:cs="Times New Roman"/>
          <w:b/>
          <w:i/>
          <w:spacing w:val="3"/>
          <w:sz w:val="28"/>
          <w:szCs w:val="28"/>
          <w:bdr w:val="none" w:sz="0" w:space="0" w:color="auto" w:frame="1"/>
          <w:lang w:eastAsia="ru-RU"/>
        </w:rPr>
      </w:pPr>
    </w:p>
    <w:p w:rsidR="00321895" w:rsidRDefault="00321895" w:rsidP="00321895">
      <w:pPr>
        <w:spacing w:after="0" w:line="19" w:lineRule="atLeast"/>
        <w:ind w:firstLine="709"/>
        <w:jc w:val="both"/>
        <w:rPr>
          <w:rFonts w:ascii="Times New Roman" w:eastAsia="Times New Roman" w:hAnsi="Times New Roman" w:cs="Times New Roman"/>
          <w:b/>
          <w:i/>
          <w:spacing w:val="3"/>
          <w:sz w:val="28"/>
          <w:szCs w:val="28"/>
          <w:bdr w:val="none" w:sz="0" w:space="0" w:color="auto" w:frame="1"/>
          <w:lang w:eastAsia="ru-RU"/>
        </w:rPr>
      </w:pPr>
    </w:p>
    <w:p w:rsidR="00321895" w:rsidRPr="00406E25" w:rsidRDefault="00321895" w:rsidP="00321895">
      <w:pPr>
        <w:spacing w:after="0" w:line="19" w:lineRule="atLeast"/>
        <w:ind w:firstLine="709"/>
        <w:jc w:val="both"/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</w:pPr>
      <w:r w:rsidRPr="00406E25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lastRenderedPageBreak/>
        <w:t>Влияние высоковязких пенообразователей на системы дозирования</w:t>
      </w:r>
    </w:p>
    <w:p w:rsidR="00321895" w:rsidRPr="00972419" w:rsidRDefault="00321895" w:rsidP="00321895">
      <w:pPr>
        <w:spacing w:after="0" w:line="19" w:lineRule="atLeas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В этом разделе различные типы дозирующих систем будут сравниваться на предмет эффектов при переходе от </w:t>
      </w:r>
      <w:proofErr w:type="spellStart"/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ньютоновского</w:t>
      </w:r>
      <w:proofErr w:type="spellEnd"/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к высоковязкому </w:t>
      </w:r>
      <w:proofErr w:type="spellStart"/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псевдопластичному</w:t>
      </w:r>
      <w:proofErr w:type="spellEnd"/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пенообразователю.</w:t>
      </w:r>
    </w:p>
    <w:p w:rsidR="00321895" w:rsidRPr="00972419" w:rsidRDefault="00321895" w:rsidP="00321895">
      <w:pPr>
        <w:spacing w:after="0" w:line="19" w:lineRule="atLeas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При использовании </w:t>
      </w:r>
      <w:proofErr w:type="spellStart"/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самоиндукционных</w:t>
      </w:r>
      <w:proofErr w:type="spellEnd"/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дозаторов </w:t>
      </w:r>
      <w:proofErr w:type="spellStart"/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Вентури</w:t>
      </w:r>
      <w:proofErr w:type="spellEnd"/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ограничивающим фактором для перехода на высоковязкий пенообразователь будет ограниченная всасывающая способность устройства </w:t>
      </w:r>
      <w:proofErr w:type="spellStart"/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Вентури</w:t>
      </w:r>
      <w:proofErr w:type="spellEnd"/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. Всасывающие линии, как правило, должны быть большого диаметра и очень короткими, если они вообще будут работоспособны, поскольку всасывающая способность системы создается только потоком воды. Кроме того, следует учитывать, что падение давления в линии подачи воды для тушения будет очень высоким.</w:t>
      </w:r>
    </w:p>
    <w:p w:rsidR="00321895" w:rsidRPr="00972419" w:rsidRDefault="00321895" w:rsidP="00321895">
      <w:pPr>
        <w:spacing w:after="0" w:line="19" w:lineRule="atLeas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Если вы хотите продолжать использовать бак-дозатор с дозатором широкого диапазона, падение давления в соединительной линии между баком-дозатором и дозатором может стать ограничивающим фактором из-за потерь на трение. В любом случае трубопроводы линии подачи пенообразователя и отверстия </w:t>
      </w:r>
      <w:proofErr w:type="spellStart"/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Вентури</w:t>
      </w:r>
      <w:proofErr w:type="spellEnd"/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потребуют адаптации к высокой вязкости пенообразователя.</w:t>
      </w:r>
    </w:p>
    <w:p w:rsidR="00321895" w:rsidRPr="00972419" w:rsidRDefault="00321895" w:rsidP="00321895">
      <w:pPr>
        <w:spacing w:after="0" w:line="19" w:lineRule="atLeas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Очень распространено применение дозаторов широкого диапазона с шестеренчатым насосом, в которых избыток пенообразователя возвращается в бак пенообразователя. Как и во всех системах, диаметр всасывающих линий и линий впрыска пенообразователя должен быть увеличен, чтобы обеспечить лучший поток пенообразователя высокой вязкости. В противном случае настройки дозаторов широкого диапазона необходимо адаптировать к свойствам нового пенообразователя, чтобы обеспечить правильную скорость дозирования при различных расходах. Шестеренчатые насосы обычно хорошо работают с жидкостями более высокой вязкости. Однако увеличение противодавления системы пожаротушения приведет к утечке пенообразователя при малых скоростях потока.</w:t>
      </w:r>
    </w:p>
    <w:p w:rsidR="00321895" w:rsidRPr="00972419" w:rsidRDefault="00321895" w:rsidP="00321895">
      <w:pPr>
        <w:spacing w:after="0" w:line="19" w:lineRule="atLeas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Электронные дозаторы с шестеренчатым насосом, в которых избыток пенообразователя возвращается в бак пенообразователя, потребуют адаптации линий всасывания и впрыска пенообразователя. В противном случае систему придется </w:t>
      </w:r>
      <w:proofErr w:type="spellStart"/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перекалибровать</w:t>
      </w:r>
      <w:proofErr w:type="spellEnd"/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под свойства более вязкого пенообразователя.</w:t>
      </w:r>
    </w:p>
    <w:p w:rsidR="00321895" w:rsidRPr="00972419" w:rsidRDefault="00321895" w:rsidP="00321895">
      <w:pPr>
        <w:spacing w:after="0" w:line="19" w:lineRule="atLeas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Системы дозирования, использующие водяной двигатель с шестеренчатым насосом, потребуют новых трубопроводов для подачи пенообразователя высокой вязкости. Кроме того, необходимо учитывать минимальный и максимальный расход воды, поскольку шестеренные насосы имеют различную степень утечки пенообразователя в зависимости от расхода воды и противодавления в системе подачи воды для пожаротушения. Высокое противодавление и малый расход воды могут оказывать повышенное влияние на утечку, поэтому следует пересмотреть размеры шестеренного насоса для требуемого расхода воды.</w:t>
      </w:r>
    </w:p>
    <w:p w:rsidR="00321895" w:rsidRPr="00972419" w:rsidRDefault="00321895" w:rsidP="00321895">
      <w:pPr>
        <w:spacing w:after="0" w:line="19" w:lineRule="atLeas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lastRenderedPageBreak/>
        <w:t>При использовании дозатора с водяным двигателем и поршневым насосом необходимо адаптировать всасывающую линию между баком для пенообразователя и насосом. В противном случае никаких изменений ожидать не приходится, так как поршневой насос не имеет утечек.</w:t>
      </w:r>
    </w:p>
    <w:p w:rsidR="00321895" w:rsidRPr="00972419" w:rsidRDefault="00321895" w:rsidP="00321895">
      <w:pPr>
        <w:spacing w:after="0" w:line="19" w:lineRule="atLeas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Поставщики дозаторов с водяным двигателем и поршневым насосом используют два разных типа насосов. Один из них — обычный промышленный насос, предназначенный для перекачивания </w:t>
      </w:r>
      <w:proofErr w:type="spellStart"/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ньютоновских</w:t>
      </w:r>
      <w:proofErr w:type="spellEnd"/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жидкостей с низкой вязкостью, таких как вода. Другой представляет собой насос, специально разработанный для высоковязких </w:t>
      </w:r>
      <w:proofErr w:type="spellStart"/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псевдопластичных</w:t>
      </w:r>
      <w:proofErr w:type="spellEnd"/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жидкостей, таких как пенообразователи. Последние, специально разработанные насосы, обычно имеют более высокий уровень эффективности, чем обычные промышленные насосы, при использовании пенообразователей высокой вязкости.</w:t>
      </w:r>
    </w:p>
    <w:p w:rsidR="00321895" w:rsidRPr="003279E4" w:rsidRDefault="00321895" w:rsidP="00321895">
      <w:pPr>
        <w:spacing w:after="0" w:line="19" w:lineRule="atLeas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В системах дозирования </w:t>
      </w:r>
      <w:proofErr w:type="spellStart"/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FireDos</w:t>
      </w:r>
      <w:proofErr w:type="spellEnd"/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GEN III с приводом от водяного двигателя используются исключительно поршневые насосы собственной разработки, которые спроектированы и протес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тированы для использования как </w:t>
      </w:r>
      <w:proofErr w:type="spellStart"/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ньютоновских</w:t>
      </w:r>
      <w:proofErr w:type="spellEnd"/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пенообразователей низкой вязкости, так и </w:t>
      </w:r>
      <w:proofErr w:type="spellStart"/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псевдопластичных</w:t>
      </w:r>
      <w:proofErr w:type="spellEnd"/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пенообразователей</w:t>
      </w:r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высокой вязкости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>.</w:t>
      </w:r>
    </w:p>
    <w:p w:rsidR="00321895" w:rsidRPr="00B012ED" w:rsidRDefault="00321895" w:rsidP="00321895">
      <w:pPr>
        <w:spacing w:after="0" w:line="19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pacing w:val="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FCB3B01" wp14:editId="12A38F33">
            <wp:extent cx="5844671" cy="3087584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693" cy="309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895" w:rsidRPr="00EF3F49" w:rsidRDefault="00321895" w:rsidP="00321895">
      <w:pPr>
        <w:spacing w:after="0" w:line="19" w:lineRule="atLeast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</w:pPr>
      <w:r w:rsidRPr="00EF3F49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Изображение 4: Дозатор с водяным двигателем, поршневым насосом и линией возврата пены для экологически безопасного тестирования скорости дозирования.</w:t>
      </w:r>
    </w:p>
    <w:p w:rsidR="00321895" w:rsidRPr="00972419" w:rsidRDefault="00321895" w:rsidP="00321895">
      <w:pPr>
        <w:spacing w:after="0" w:line="19" w:lineRule="atLeas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97241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Для всех систем дозирования следует учитывать, что вышеупомянутые кривые вязкости (см. Рисунок 2) для дозаторов и пенообразователей совместимы.</w:t>
      </w:r>
    </w:p>
    <w:p w:rsidR="00321895" w:rsidRPr="00406E25" w:rsidRDefault="00321895" w:rsidP="00321895">
      <w:pPr>
        <w:spacing w:after="0" w:line="19" w:lineRule="atLeast"/>
        <w:ind w:firstLine="709"/>
        <w:jc w:val="both"/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</w:pPr>
      <w:r w:rsidRPr="00406E25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 xml:space="preserve">Переход с </w:t>
      </w:r>
      <w:proofErr w:type="spellStart"/>
      <w:r w:rsidRPr="00406E25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>ньютоновского</w:t>
      </w:r>
      <w:proofErr w:type="spellEnd"/>
      <w:r w:rsidRPr="00406E25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 xml:space="preserve"> пенообразователя на пенообразователь высокой вязкости возможен при правильном планировании практически всех технологий дозирования. Переход должен быть тщательно спланирован и осуществлен с привлечением специализированных компаний.</w:t>
      </w:r>
    </w:p>
    <w:p w:rsidR="00321895" w:rsidRDefault="00321895" w:rsidP="00321895">
      <w:pPr>
        <w:spacing w:after="0" w:line="19" w:lineRule="atLeas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bdr w:val="none" w:sz="0" w:space="0" w:color="auto" w:frame="1"/>
          <w:lang w:eastAsia="ru-RU"/>
        </w:rPr>
      </w:pPr>
      <w:hyperlink r:id="rId9" w:history="1">
        <w:r w:rsidRPr="001241FF">
          <w:rPr>
            <w:rFonts w:ascii="Times New Roman" w:eastAsia="Times New Roman" w:hAnsi="Times New Roman" w:cs="Times New Roman"/>
            <w:spacing w:val="3"/>
            <w:sz w:val="28"/>
            <w:szCs w:val="28"/>
            <w:u w:val="single"/>
            <w:bdr w:val="none" w:sz="0" w:space="0" w:color="auto" w:frame="1"/>
            <w:lang w:eastAsia="ru-RU"/>
          </w:rPr>
          <w:t>https://iffmag.com</w:t>
        </w:r>
      </w:hyperlink>
    </w:p>
    <w:p w:rsidR="00321895" w:rsidRPr="001241FF" w:rsidRDefault="00321895" w:rsidP="00321895">
      <w:pPr>
        <w:spacing w:after="0" w:line="19" w:lineRule="atLeas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bdr w:val="none" w:sz="0" w:space="0" w:color="auto" w:frame="1"/>
          <w:lang w:eastAsia="ru-RU"/>
        </w:rPr>
      </w:pPr>
    </w:p>
    <w:p w:rsidR="00321895" w:rsidRPr="0075516E" w:rsidRDefault="00321895" w:rsidP="003218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</w:pPr>
      <w:r w:rsidRPr="000E3C53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lastRenderedPageBreak/>
        <w:t xml:space="preserve">На ПГУ-120 </w:t>
      </w:r>
      <w:proofErr w:type="spellStart"/>
      <w:r w:rsidRPr="000E3C53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t>Сакской</w:t>
      </w:r>
      <w:proofErr w:type="spellEnd"/>
      <w:r w:rsidRPr="000E3C53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t xml:space="preserve"> ТЭЦ компании «КРЫМТЭЦ» введен в эксплуатацию первый в Крыму комплекс автоматического дистанционного управления электросетевым оборудованием ОРУ 110кВ. </w:t>
      </w:r>
    </w:p>
    <w:p w:rsidR="00321895" w:rsidRPr="000E3C53" w:rsidRDefault="00321895" w:rsidP="003218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0E3C53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Проект реализован при непосредственном участии специалистов филиала АО «СО ЕЭС» Черноморское РДУ.</w:t>
      </w:r>
    </w:p>
    <w:p w:rsidR="00321895" w:rsidRPr="000E3C53" w:rsidRDefault="00321895" w:rsidP="003218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</w:pPr>
      <w:proofErr w:type="gramStart"/>
      <w:r w:rsidRPr="000E3C53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>Переход на автоматическое дистанционное управление позволит снизить риск ошибочных действий оперативного персонала, значительно сократить время производства оперативных переключений по выводу в ремонт/вводу в работу ЛЭП и оборудования, обеспечить возможность ликвидации аварий в кратчайшие сроки и минимизировать объем повреждения оборудования, снизить нагрузку на оперативный персонал электростанции за счет автоматизации переключений и повысить надежность работы энергосистемы Республики Крым.</w:t>
      </w:r>
      <w:proofErr w:type="gramEnd"/>
    </w:p>
    <w:p w:rsidR="00321895" w:rsidRPr="000E3C53" w:rsidRDefault="00321895" w:rsidP="003218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0E3C53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Работа над внедрением данного комплекса управления велась на </w:t>
      </w:r>
      <w:proofErr w:type="spellStart"/>
      <w:r w:rsidRPr="000E3C53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Сакской</w:t>
      </w:r>
      <w:proofErr w:type="spellEnd"/>
      <w:r w:rsidRPr="000E3C53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ТЭЦ с 2021 в соответствии с Распоряжением Правительства Российской Федерации от 9 июня 2020 г. № 1523-р «О стратегии развития цифровых технологий в электроэнергетике, а также внедрения дистанционного управления коммутационными аппаратами и устройствами» определенной на период до 2035 года. В комплекс ключевых мер, обеспечивающих решение задач электроэнергетики, предусмотренных данной стратегией входит работа по переходу оперативно-диспетчерского управления на 100-процентное автоматическое дистанционное управление режимами работы к 2035 году на объектах электрической сети и генерации 25 МВт и выше в Единой энергетической системе России.</w:t>
      </w:r>
    </w:p>
    <w:p w:rsidR="00321895" w:rsidRPr="000E3C53" w:rsidRDefault="00321895" w:rsidP="003218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</w:pPr>
      <w:r w:rsidRPr="000E3C53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>Накопленный опыт реализации столь значимых для электроэнергетической системы задач позволит компании «КРЫМТЭЦ» оптимизировать работу оборудования на других своих объектах генерации и поддерживать имидж надёжного поставщика на рынке электрической мощности.</w:t>
      </w:r>
    </w:p>
    <w:p w:rsidR="00321895" w:rsidRDefault="00321895" w:rsidP="00321895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pacing w:val="3"/>
          <w:sz w:val="28"/>
          <w:szCs w:val="28"/>
          <w:u w:val="single"/>
          <w:bdr w:val="none" w:sz="0" w:space="0" w:color="auto" w:frame="1"/>
          <w:lang w:eastAsia="ru-RU"/>
        </w:rPr>
      </w:pPr>
      <w:hyperlink r:id="rId10" w:history="1">
        <w:r w:rsidRPr="000E3C53">
          <w:rPr>
            <w:rFonts w:ascii="Times New Roman" w:hAnsi="Times New Roman" w:cs="Times New Roman"/>
            <w:spacing w:val="3"/>
            <w:sz w:val="28"/>
            <w:szCs w:val="28"/>
            <w:u w:val="single"/>
            <w:bdr w:val="none" w:sz="0" w:space="0" w:color="auto" w:frame="1"/>
            <w:lang w:eastAsia="ru-RU"/>
          </w:rPr>
          <w:t>energybase.ru</w:t>
        </w:r>
      </w:hyperlink>
    </w:p>
    <w:p w:rsidR="00321895" w:rsidRDefault="00321895" w:rsidP="00321895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pacing w:val="3"/>
          <w:sz w:val="28"/>
          <w:szCs w:val="28"/>
          <w:u w:val="single"/>
          <w:bdr w:val="none" w:sz="0" w:space="0" w:color="auto" w:frame="1"/>
          <w:lang w:eastAsia="ru-RU"/>
        </w:rPr>
      </w:pPr>
    </w:p>
    <w:p w:rsidR="00321895" w:rsidRPr="00AE76D0" w:rsidRDefault="00321895" w:rsidP="00321895">
      <w:pPr>
        <w:pStyle w:val="1"/>
        <w:shd w:val="clear" w:color="auto" w:fill="FFFFFF"/>
        <w:spacing w:before="0" w:beforeAutospacing="0" w:after="0" w:afterAutospacing="0"/>
        <w:rPr>
          <w:bCs w:val="0"/>
          <w:spacing w:val="3"/>
          <w:kern w:val="0"/>
          <w:sz w:val="28"/>
          <w:szCs w:val="28"/>
          <w:bdr w:val="none" w:sz="0" w:space="0" w:color="auto" w:frame="1"/>
        </w:rPr>
      </w:pPr>
      <w:r w:rsidRPr="00AE76D0">
        <w:rPr>
          <w:bCs w:val="0"/>
          <w:spacing w:val="3"/>
          <w:kern w:val="0"/>
          <w:sz w:val="28"/>
          <w:szCs w:val="28"/>
          <w:bdr w:val="none" w:sz="0" w:space="0" w:color="auto" w:frame="1"/>
        </w:rPr>
        <w:t>Аккумулятор CATL способен проработать 5 лет без ухудшения качеств</w:t>
      </w:r>
    </w:p>
    <w:p w:rsidR="00321895" w:rsidRPr="00AE76D0" w:rsidRDefault="00321895" w:rsidP="00321895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</w:pPr>
      <w:r w:rsidRPr="00AE76D0">
        <w:rPr>
          <w:rFonts w:ascii="Times New Roman" w:eastAsia="Times New Roman" w:hAnsi="Times New Roman" w:cs="Times New Roman"/>
          <w:i/>
          <w:noProof/>
          <w:spacing w:val="3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1312" behindDoc="1" locked="0" layoutInCell="1" allowOverlap="1" wp14:anchorId="27B95858" wp14:editId="0C7EE005">
            <wp:simplePos x="0" y="0"/>
            <wp:positionH relativeFrom="column">
              <wp:posOffset>76835</wp:posOffset>
            </wp:positionH>
            <wp:positionV relativeFrom="paragraph">
              <wp:posOffset>452755</wp:posOffset>
            </wp:positionV>
            <wp:extent cx="3009900" cy="1561465"/>
            <wp:effectExtent l="0" t="0" r="0" b="635"/>
            <wp:wrapTight wrapText="bothSides">
              <wp:wrapPolygon edited="0">
                <wp:start x="0" y="0"/>
                <wp:lineTo x="0" y="21345"/>
                <wp:lineTo x="21463" y="21345"/>
                <wp:lineTo x="21463" y="0"/>
                <wp:lineTo x="0" y="0"/>
              </wp:wrapPolygon>
            </wp:wrapTight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kumulyator-catl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82" t="18577" r="7676" b="10671"/>
                    <a:stretch/>
                  </pic:blipFill>
                  <pic:spPr bwMode="auto">
                    <a:xfrm>
                      <a:off x="0" y="0"/>
                      <a:ext cx="3009900" cy="1561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6D0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 xml:space="preserve">Компания CATL, крупнейший производитель аккумуляторов, вывела на рынок новый продукт под </w:t>
      </w:r>
      <w:proofErr w:type="spellStart"/>
      <w:r w:rsidRPr="00AE76D0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>назаванием</w:t>
      </w:r>
      <w:proofErr w:type="spellEnd"/>
      <w:r w:rsidRPr="00AE76D0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 xml:space="preserve"> TENER. Он описывается как первый в мире накопитель энергии с нулевой деградацией в течение первых пяти лет работы. Этим он разительно отличается от литий-ионных аккумуляторов, которые быстро теряют мощность и емкость по мере эксплуатации.</w:t>
      </w:r>
    </w:p>
    <w:p w:rsidR="00321895" w:rsidRPr="00AE76D0" w:rsidRDefault="00321895" w:rsidP="003218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AE76D0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lastRenderedPageBreak/>
        <w:t xml:space="preserve">TENER состоит из массива долговечных литий-железо-фосфатных батарей, собранных внутри типового 20-футового транспортного контейнера. Мощность аккумулятора составляет 6,25 </w:t>
      </w:r>
      <w:proofErr w:type="spellStart"/>
      <w:r w:rsidRPr="00AE76D0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МВт⋅</w:t>
      </w:r>
      <w:proofErr w:type="gramStart"/>
      <w:r w:rsidRPr="00AE76D0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ч</w:t>
      </w:r>
      <w:proofErr w:type="spellEnd"/>
      <w:proofErr w:type="gramEnd"/>
      <w:r w:rsidRPr="00AE76D0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, плотность энергии 430 </w:t>
      </w:r>
      <w:proofErr w:type="spellStart"/>
      <w:r w:rsidRPr="00AE76D0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Вт⋅ч</w:t>
      </w:r>
      <w:proofErr w:type="spellEnd"/>
      <w:r w:rsidRPr="00AE76D0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/л. Он на 30 % эффективнее предыдущей модели, может выдержать 15 тыс. циклов перезарядки и проработать до 20 лет.</w:t>
      </w:r>
    </w:p>
    <w:p w:rsidR="00321895" w:rsidRPr="00AE76D0" w:rsidRDefault="00321895" w:rsidP="003218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AE76D0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К особенностям аккумулятора можно отнести использование «</w:t>
      </w:r>
      <w:proofErr w:type="spellStart"/>
      <w:r w:rsidRPr="00AE76D0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биомиметического</w:t>
      </w:r>
      <w:proofErr w:type="spellEnd"/>
      <w:r w:rsidRPr="00AE76D0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» межфазного слоя твердого электролита и «технологии </w:t>
      </w:r>
      <w:proofErr w:type="spellStart"/>
      <w:r w:rsidRPr="00AE76D0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самособирающегося</w:t>
      </w:r>
      <w:proofErr w:type="spellEnd"/>
      <w:r w:rsidRPr="00AE76D0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электролита». Это позволяет перемещать ионы лития без снижения мощности накопителя. Емкость также не меняется, плюс одновременно сохраняется контроль над тепловым режимом. В будущем управление состоянием аккумулятора будет поручено искусственному интеллекту.</w:t>
      </w:r>
    </w:p>
    <w:p w:rsidR="00321895" w:rsidRPr="00AE76D0" w:rsidRDefault="00321895" w:rsidP="003218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bdr w:val="none" w:sz="0" w:space="0" w:color="auto" w:frame="1"/>
          <w:lang w:eastAsia="ru-RU"/>
        </w:rPr>
      </w:pPr>
      <w:hyperlink r:id="rId12" w:history="1">
        <w:r w:rsidRPr="00406E25">
          <w:rPr>
            <w:rFonts w:ascii="Times New Roman" w:hAnsi="Times New Roman"/>
            <w:spacing w:val="3"/>
            <w:sz w:val="28"/>
            <w:szCs w:val="28"/>
            <w:u w:val="single"/>
            <w:bdr w:val="none" w:sz="0" w:space="0" w:color="auto" w:frame="1"/>
            <w:lang w:eastAsia="ru-RU"/>
          </w:rPr>
          <w:t>www.techcult.ru</w:t>
        </w:r>
      </w:hyperlink>
    </w:p>
    <w:p w:rsidR="004F1998" w:rsidRPr="00321895" w:rsidRDefault="004F1998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sectPr w:rsidR="004F1998" w:rsidRPr="00321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99"/>
    <w:rsid w:val="00321895"/>
    <w:rsid w:val="004F1998"/>
    <w:rsid w:val="00503899"/>
    <w:rsid w:val="0067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95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21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8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1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95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21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8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1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techcul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5.jpg"/><Relationship Id="rId5" Type="http://schemas.openxmlformats.org/officeDocument/2006/relationships/image" Target="media/image1.jpg"/><Relationship Id="rId10" Type="http://schemas.openxmlformats.org/officeDocument/2006/relationships/hyperlink" Target="https://energybase.ru/news/companies/na-sakskoj-tec-v-ekspluataciu-vveden-kompleks-avtomaticeskogo-distancionnogo-upr-2024-04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ffmag.com/properties-of-high-viscosity-foam-agents-and-their-influence-on-proportioning-system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2009</Words>
  <Characters>11452</Characters>
  <Application>Microsoft Office Word</Application>
  <DocSecurity>0</DocSecurity>
  <Lines>95</Lines>
  <Paragraphs>26</Paragraphs>
  <ScaleCrop>false</ScaleCrop>
  <Company/>
  <LinksUpToDate>false</LinksUpToDate>
  <CharactersWithSpaces>13435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Воронович Виталий</dc:creator>
  <cp:keywords/>
  <dc:description/>
  <cp:lastModifiedBy>Воронович Виталий</cp:lastModifiedBy>
  <cp:revision>2</cp:revision>
  <dcterms:created xsi:type="dcterms:W3CDTF">2024-04-19T11:21:00Z</dcterms:created>
  <dcterms:modified xsi:type="dcterms:W3CDTF">2024-04-19T11:22:00Z</dcterms:modified>
</cp:coreProperties>
</file>